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A30C4D">
        <w:rPr>
          <w:u w:val="thick"/>
        </w:rPr>
        <w:t>20</w:t>
      </w:r>
      <w:r w:rsidR="001E23D2">
        <w:rPr>
          <w:u w:val="thick"/>
        </w:rPr>
        <w:t xml:space="preserve"> de </w:t>
      </w:r>
      <w:r w:rsidR="00676AA9">
        <w:rPr>
          <w:u w:val="thick"/>
        </w:rPr>
        <w:t>marzo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AD4E60">
        <w:rPr>
          <w:sz w:val="28"/>
        </w:rPr>
        <w:t>32:3-5</w:t>
      </w:r>
    </w:p>
    <w:p w:rsidR="009F3AD6" w:rsidRPr="00AD4E60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676AA9">
        <w:rPr>
          <w:sz w:val="28"/>
        </w:rPr>
        <w:t>Salmo</w:t>
      </w:r>
      <w:r w:rsidR="00AD4E60">
        <w:rPr>
          <w:sz w:val="28"/>
        </w:rPr>
        <w:t xml:space="preserve"> </w:t>
      </w:r>
      <w:r w:rsidR="00AD4E60">
        <w:rPr>
          <w:spacing w:val="-6"/>
          <w:sz w:val="28"/>
        </w:rPr>
        <w:t>105:1-3</w:t>
      </w:r>
    </w:p>
    <w:p w:rsidR="00A30C4D" w:rsidRDefault="009F3AD6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FC58F7">
        <w:rPr>
          <w:sz w:val="28"/>
        </w:rPr>
        <w:t>C</w:t>
      </w:r>
      <w:r w:rsidR="00E723BD">
        <w:rPr>
          <w:sz w:val="28"/>
        </w:rPr>
        <w:t>anto</w:t>
      </w:r>
      <w:r w:rsidR="00B53C98">
        <w:rPr>
          <w:sz w:val="28"/>
        </w:rPr>
        <w:t xml:space="preserve"> </w:t>
      </w:r>
    </w:p>
    <w:p w:rsidR="00676AA9" w:rsidRDefault="00A30C4D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z w:val="28"/>
        </w:rPr>
        <w:t xml:space="preserve">          Adoración a través</w:t>
      </w:r>
      <w:r w:rsidR="00FC58F7">
        <w:rPr>
          <w:sz w:val="28"/>
        </w:rPr>
        <w:t xml:space="preserve"> d</w:t>
      </w:r>
      <w:r>
        <w:rPr>
          <w:sz w:val="28"/>
        </w:rPr>
        <w:t>e</w:t>
      </w:r>
      <w:r w:rsidR="00FC58F7">
        <w:rPr>
          <w:sz w:val="28"/>
        </w:rPr>
        <w:t xml:space="preserve"> las Ofrendas</w:t>
      </w:r>
    </w:p>
    <w:p w:rsidR="00E25600" w:rsidRPr="00FC58F7" w:rsidRDefault="00676AA9" w:rsidP="00FC58F7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25600"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7222A7">
        <w:rPr>
          <w:sz w:val="28"/>
        </w:rPr>
        <w:t>Sin embargo, yo no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</w:t>
      </w:r>
      <w:r w:rsidR="007222A7">
        <w:rPr>
          <w:spacing w:val="-7"/>
          <w:sz w:val="28"/>
        </w:rPr>
        <w:t>2 Tesalonicenses</w:t>
      </w:r>
      <w:r w:rsidR="00F43B03">
        <w:rPr>
          <w:sz w:val="28"/>
        </w:rPr>
        <w:t xml:space="preserve"> </w:t>
      </w:r>
      <w:r w:rsidR="00FC58F7">
        <w:rPr>
          <w:sz w:val="28"/>
        </w:rPr>
        <w:t>2</w:t>
      </w:r>
      <w:r w:rsidR="007222A7">
        <w:rPr>
          <w:sz w:val="28"/>
        </w:rPr>
        <w:t>:16</w:t>
      </w:r>
      <w:r w:rsidR="00A156EC">
        <w:rPr>
          <w:sz w:val="28"/>
        </w:rPr>
        <w:t>-</w:t>
      </w:r>
      <w:r w:rsidR="006B24C5">
        <w:rPr>
          <w:sz w:val="28"/>
        </w:rPr>
        <w:t>17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 xml:space="preserve">; </w:t>
      </w:r>
      <w:r w:rsidR="006B24C5">
        <w:rPr>
          <w:rFonts w:ascii="Arial" w:hAnsi="Arial"/>
          <w:color w:val="000000" w:themeColor="text1"/>
          <w:sz w:val="24"/>
          <w:szCs w:val="24"/>
          <w:lang w:val="es-PA"/>
        </w:rPr>
        <w:t>Continuaremos</w:t>
      </w:r>
      <w:r w:rsidR="00113CE0">
        <w:rPr>
          <w:rFonts w:ascii="Arial" w:hAnsi="Arial"/>
          <w:color w:val="000000" w:themeColor="text1"/>
          <w:sz w:val="24"/>
          <w:szCs w:val="24"/>
          <w:lang w:val="es-PA"/>
        </w:rPr>
        <w:t xml:space="preserve"> </w:t>
      </w:r>
      <w:r w:rsidR="006B24C5">
        <w:rPr>
          <w:rFonts w:ascii="Arial" w:hAnsi="Arial"/>
          <w:color w:val="000000" w:themeColor="text1"/>
          <w:sz w:val="24"/>
          <w:szCs w:val="24"/>
          <w:lang w:val="es-PA"/>
        </w:rPr>
        <w:t xml:space="preserve">con Apocalipsis </w:t>
      </w:r>
      <w:r w:rsidR="006B3BCA">
        <w:rPr>
          <w:rFonts w:ascii="Arial" w:hAnsi="Arial"/>
          <w:color w:val="000000" w:themeColor="text1"/>
          <w:sz w:val="24"/>
          <w:szCs w:val="24"/>
          <w:lang w:val="es-PA"/>
        </w:rPr>
        <w:t>21.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B24C5" w:rsidRDefault="006B24C5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6B24C5" w:rsidRDefault="006B24C5" w:rsidP="003F6DE3">
      <w:pPr>
        <w:ind w:right="-234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F6DE3" w:rsidRPr="003F6DE3" w:rsidRDefault="003F6DE3" w:rsidP="003F6DE3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867109" w:rsidRDefault="006B24C5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Notas del Serm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ó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n 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Sin Embargo, Yo No</w:t>
      </w:r>
    </w:p>
    <w:p w:rsidR="0020145A" w:rsidRDefault="0091597D" w:rsidP="00D02883">
      <w:pPr>
        <w:spacing w:before="62"/>
        <w:jc w:val="both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91597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</w:p>
    <w:p w:rsidR="001D12E4" w:rsidRDefault="006B24C5" w:rsidP="00791D0E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Con Cristo he sido crucificado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0" w:anchor="fes-NBLA-29102a" w:tooltip="See footnote a" w:history="1">
        <w:r w:rsidRPr="006B24C5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, y ya no soy yo el que vive, sino que Cristo vive en mí; y la </w:t>
      </w:r>
      <w:r w:rsidRPr="006B24C5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vida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que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1" w:anchor="fes-NBLA-29102b" w:tooltip="See footnote b" w:history="1">
        <w:r w:rsidRPr="006B24C5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ahora vivo en la carne, la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2" w:anchor="fes-NBLA-29102c" w:tooltip="See footnote c" w:history="1">
        <w:r w:rsidRPr="006B24C5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6B24C5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vivo por la fe en el Hijo de Dios, el cual me amó y se entregó a sí mismo por mí.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– Gálatas 2:20</w:t>
      </w:r>
    </w:p>
    <w:p w:rsidR="00791D0E" w:rsidRDefault="00791D0E" w:rsidP="00A95BE1">
      <w:pPr>
        <w:spacing w:before="62" w:line="360" w:lineRule="auto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6B24C5" w:rsidRDefault="006B24C5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6B24C5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El propósito del Sermón</w:t>
      </w: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Aprender a recomenzar una vida de consagrac</w:t>
      </w:r>
      <w:r w:rsidR="00172D1A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ión a la santidad.</w:t>
      </w:r>
    </w:p>
    <w:p w:rsidR="00172D1A" w:rsidRDefault="00172D1A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Definición de Consagración: </w:t>
      </w:r>
      <w:r w:rsidR="0015391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Una persona o cosa ___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separada</w:t>
      </w:r>
      <w:r w:rsidR="0015391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 para Dios y que le pertenece para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servirle</w:t>
      </w:r>
      <w:r w:rsidR="0015391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a Él y a Su propósito.</w:t>
      </w:r>
    </w:p>
    <w:p w:rsidR="00153913" w:rsidRDefault="00153913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153913" w:rsidRDefault="00153913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La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hipocresía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__ es </w:t>
      </w:r>
      <w:r w:rsidR="0012145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el enemigo de la consagración.</w:t>
      </w:r>
    </w:p>
    <w:p w:rsidR="0012145D" w:rsidRDefault="0012145D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12145D" w:rsidRDefault="0012145D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2.) La crucifixión con Cristo revela algunas verdades maravillosas:</w:t>
      </w:r>
    </w:p>
    <w:p w:rsidR="0012145D" w:rsidRDefault="0012145D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Un cristiano que está crucificado con Cristo está ahora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espiritualmente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vivo, y está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unido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a Cristo en una nueva vida.</w:t>
      </w:r>
    </w:p>
    <w:p w:rsidR="0012145D" w:rsidRDefault="0012145D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12145D" w:rsidRDefault="0012145D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3.) </w:t>
      </w:r>
      <w:r w:rsidR="006774D7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Gálatas 2:20 es el corazón del mensaje del Evangelio, a través de la ___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muerte</w:t>
      </w:r>
      <w:r w:rsidR="006774D7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__, a la vida  por la fe, a causa del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amor</w:t>
      </w:r>
      <w:r w:rsidR="006774D7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:rsidR="006774D7" w:rsidRDefault="006774D7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774D7" w:rsidRDefault="006774D7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4.) La fe salvadora es la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confianza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en Jesucristo como persona viva para el __</w:t>
      </w:r>
      <w:r w:rsidR="00EE7D87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perdón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de los pecados y para la vida eterna con Dios.</w:t>
      </w:r>
    </w:p>
    <w:p w:rsidR="006774D7" w:rsidRDefault="006774D7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6774D7" w:rsidRDefault="006774D7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5.) Hay tres vías que deben seguirse conjuntamente en este proceso vitalicio de consagración a la santidad:</w:t>
      </w:r>
    </w:p>
    <w:p w:rsidR="00E951EE" w:rsidRPr="00E951EE" w:rsidRDefault="006774D7" w:rsidP="00E951EE">
      <w:pPr>
        <w:spacing w:before="62" w:line="360" w:lineRule="auto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bookmarkStart w:id="1" w:name="_Hlk98623901"/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bookmarkEnd w:id="1"/>
      <w:r w:rsidR="00E951EE">
        <w:rPr>
          <w:rFonts w:ascii="SymbolMT" w:eastAsiaTheme="minorHAnsi" w:hAnsi="SymbolMT" w:cs="SymbolMT"/>
          <w:sz w:val="24"/>
          <w:szCs w:val="24"/>
          <w:lang w:val="es-PA"/>
        </w:rPr>
        <w:t xml:space="preserve">    </w:t>
      </w:r>
      <w:r w:rsidR="00E951EE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La </w:t>
      </w:r>
      <w:r>
        <w:rPr>
          <w:rFonts w:ascii="SymbolMT" w:eastAsiaTheme="minorHAnsi" w:hAnsi="SymbolMT" w:cs="SymbolMT"/>
          <w:sz w:val="24"/>
          <w:szCs w:val="24"/>
          <w:lang w:val="es-PA"/>
        </w:rPr>
        <w:t>__</w:t>
      </w:r>
      <w:r w:rsidR="00EE7D87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renovación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__ </w:t>
      </w:r>
      <w:r w:rsidRPr="006774D7">
        <w:rPr>
          <w:rFonts w:ascii="MS Reference Sans Serif" w:eastAsiaTheme="minorHAnsi" w:hAnsi="MS Reference Sans Serif" w:cs="SymbolMT"/>
          <w:sz w:val="24"/>
          <w:szCs w:val="24"/>
          <w:lang w:val="es-PA"/>
        </w:rPr>
        <w:t>de la mente a una nueva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</w:t>
      </w:r>
      <w:r w:rsidR="00E951EE">
        <w:rPr>
          <w:rFonts w:ascii="MS Reference Sans Serif" w:eastAsiaTheme="minorHAnsi" w:hAnsi="MS Reference Sans Serif" w:cs="SymbolMT"/>
          <w:sz w:val="24"/>
          <w:szCs w:val="24"/>
          <w:lang w:val="es-PA"/>
        </w:rPr>
        <w:t>forma de pensar y creer (Rom.12:2).</w:t>
      </w:r>
    </w:p>
    <w:p w:rsidR="00153913" w:rsidRDefault="00E951EE" w:rsidP="00A95BE1">
      <w:pPr>
        <w:spacing w:before="62" w:line="360" w:lineRule="auto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___</w:t>
      </w:r>
      <w:r w:rsidR="00EE7D87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Cultivar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__ 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el fruto del Espíritu (Gálatas 5:22-24)</w:t>
      </w:r>
    </w:p>
    <w:p w:rsidR="00E951EE" w:rsidRPr="009058C3" w:rsidRDefault="00E951EE" w:rsidP="00A95BE1">
      <w:pPr>
        <w:spacing w:before="62" w:line="360" w:lineRule="auto"/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__</w:t>
      </w:r>
      <w:bookmarkStart w:id="2" w:name="_GoBack"/>
      <w:bookmarkEnd w:id="2"/>
      <w:r>
        <w:rPr>
          <w:rFonts w:ascii="SymbolMT" w:eastAsiaTheme="minorHAnsi" w:hAnsi="SymbolMT" w:cs="SymbolMT"/>
          <w:sz w:val="24"/>
          <w:szCs w:val="24"/>
          <w:lang w:val="es-PA"/>
        </w:rPr>
        <w:t>_</w:t>
      </w:r>
      <w:r w:rsidR="00EE7D87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Adhesión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___ </w:t>
      </w:r>
      <w:r w:rsidR="009058C3">
        <w:rPr>
          <w:rFonts w:ascii="MS Reference Sans Serif" w:eastAsiaTheme="minorHAnsi" w:hAnsi="MS Reference Sans Serif" w:cs="SymbolMT"/>
          <w:sz w:val="24"/>
          <w:szCs w:val="24"/>
          <w:lang w:val="es-PA"/>
        </w:rPr>
        <w:t>a las advertencias morales y éticas de Dios (Mateo 7:24).</w:t>
      </w:r>
    </w:p>
    <w:p w:rsidR="006B24C5" w:rsidRPr="00E951EE" w:rsidRDefault="009058C3" w:rsidP="00A95BE1">
      <w:pPr>
        <w:spacing w:before="62" w:line="360" w:lineRule="auto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  <w:t xml:space="preserve">Otras escrituras utilizadas/referencias: </w:t>
      </w:r>
      <w:r w:rsidR="005A7FA2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  <w:t>Gálatas 2:14; Mateo 5:13; Colosenses 3:11; Mateo 10:38; Filipenses 3:8; Romanos</w:t>
      </w:r>
      <w:r w:rsidR="00791D0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  <w:t xml:space="preserve"> 12:1-2; Colosenses 3:1-2; Timoteo 2</w:t>
      </w:r>
      <w:r w:rsidR="00981BA9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  <w:t>:11-12; Gálatas 6:17, 5:22-24; 1 Juan 5:3; Filipenses 1:6; Judas 24-25</w:t>
      </w:r>
      <w:r w:rsidR="00791D0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lang w:val="es-PA"/>
        </w:rPr>
        <w:t xml:space="preserve"> </w:t>
      </w:r>
    </w:p>
    <w:sectPr w:rsidR="006B24C5" w:rsidRPr="00E951EE" w:rsidSect="009058C3">
      <w:pgSz w:w="12240" w:h="15840"/>
      <w:pgMar w:top="567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C2" w:rsidRDefault="00025DC2">
      <w:r>
        <w:separator/>
      </w:r>
    </w:p>
  </w:endnote>
  <w:endnote w:type="continuationSeparator" w:id="0">
    <w:p w:rsidR="00025DC2" w:rsidRDefault="000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025DC2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025DC2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C2" w:rsidRDefault="00025DC2">
      <w:r>
        <w:separator/>
      </w:r>
    </w:p>
  </w:footnote>
  <w:footnote w:type="continuationSeparator" w:id="0">
    <w:p w:rsidR="00025DC2" w:rsidRDefault="0002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69F"/>
    <w:multiLevelType w:val="multilevel"/>
    <w:tmpl w:val="F01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38C25D9"/>
    <w:multiLevelType w:val="multilevel"/>
    <w:tmpl w:val="421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25DC2"/>
    <w:rsid w:val="0003424A"/>
    <w:rsid w:val="000535B0"/>
    <w:rsid w:val="00055EC5"/>
    <w:rsid w:val="00073D40"/>
    <w:rsid w:val="000744F4"/>
    <w:rsid w:val="00080A51"/>
    <w:rsid w:val="000C08F8"/>
    <w:rsid w:val="000C5A7D"/>
    <w:rsid w:val="000E1ED2"/>
    <w:rsid w:val="000E4866"/>
    <w:rsid w:val="000E739F"/>
    <w:rsid w:val="000F20C7"/>
    <w:rsid w:val="000F6796"/>
    <w:rsid w:val="00113CE0"/>
    <w:rsid w:val="0011742F"/>
    <w:rsid w:val="0012145D"/>
    <w:rsid w:val="00126694"/>
    <w:rsid w:val="00135425"/>
    <w:rsid w:val="00153913"/>
    <w:rsid w:val="00172D1A"/>
    <w:rsid w:val="001909D1"/>
    <w:rsid w:val="001D12E4"/>
    <w:rsid w:val="001E23D2"/>
    <w:rsid w:val="001E2560"/>
    <w:rsid w:val="001E3FD4"/>
    <w:rsid w:val="0020145A"/>
    <w:rsid w:val="00210B79"/>
    <w:rsid w:val="002165BC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3F6DE3"/>
    <w:rsid w:val="00421D9D"/>
    <w:rsid w:val="00451E98"/>
    <w:rsid w:val="004632F5"/>
    <w:rsid w:val="004A1198"/>
    <w:rsid w:val="004B61DB"/>
    <w:rsid w:val="004C641D"/>
    <w:rsid w:val="004D071E"/>
    <w:rsid w:val="004D2878"/>
    <w:rsid w:val="004E56FB"/>
    <w:rsid w:val="004F759A"/>
    <w:rsid w:val="00523974"/>
    <w:rsid w:val="00532648"/>
    <w:rsid w:val="00545DE6"/>
    <w:rsid w:val="0056561A"/>
    <w:rsid w:val="005904F3"/>
    <w:rsid w:val="00592CEE"/>
    <w:rsid w:val="005A7FA2"/>
    <w:rsid w:val="005B39E8"/>
    <w:rsid w:val="005C6446"/>
    <w:rsid w:val="005C6DEB"/>
    <w:rsid w:val="005F00B2"/>
    <w:rsid w:val="005F7E64"/>
    <w:rsid w:val="00612BCC"/>
    <w:rsid w:val="00676AA9"/>
    <w:rsid w:val="006774D7"/>
    <w:rsid w:val="006B1EEB"/>
    <w:rsid w:val="006B24C5"/>
    <w:rsid w:val="006B3BCA"/>
    <w:rsid w:val="006D1F00"/>
    <w:rsid w:val="006F3134"/>
    <w:rsid w:val="007222A7"/>
    <w:rsid w:val="00726D54"/>
    <w:rsid w:val="00787490"/>
    <w:rsid w:val="00791D0E"/>
    <w:rsid w:val="007A1FD6"/>
    <w:rsid w:val="007A32B9"/>
    <w:rsid w:val="007D0C91"/>
    <w:rsid w:val="007F4ADF"/>
    <w:rsid w:val="008001C8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058C3"/>
    <w:rsid w:val="0091597D"/>
    <w:rsid w:val="00917E14"/>
    <w:rsid w:val="00933E4A"/>
    <w:rsid w:val="00981BA9"/>
    <w:rsid w:val="00992F43"/>
    <w:rsid w:val="009A1B04"/>
    <w:rsid w:val="009A32E4"/>
    <w:rsid w:val="009B78E3"/>
    <w:rsid w:val="009F3AD6"/>
    <w:rsid w:val="00A0377C"/>
    <w:rsid w:val="00A07183"/>
    <w:rsid w:val="00A156EC"/>
    <w:rsid w:val="00A30C4D"/>
    <w:rsid w:val="00A3669F"/>
    <w:rsid w:val="00A40E04"/>
    <w:rsid w:val="00A57050"/>
    <w:rsid w:val="00A63C65"/>
    <w:rsid w:val="00A85E21"/>
    <w:rsid w:val="00A95BE1"/>
    <w:rsid w:val="00AC2DDD"/>
    <w:rsid w:val="00AC4F02"/>
    <w:rsid w:val="00AD4E60"/>
    <w:rsid w:val="00B110E9"/>
    <w:rsid w:val="00B53C98"/>
    <w:rsid w:val="00B85C62"/>
    <w:rsid w:val="00B92B72"/>
    <w:rsid w:val="00BA2946"/>
    <w:rsid w:val="00BB147C"/>
    <w:rsid w:val="00BC5EB2"/>
    <w:rsid w:val="00BD3B07"/>
    <w:rsid w:val="00C05BAC"/>
    <w:rsid w:val="00C417E9"/>
    <w:rsid w:val="00C51638"/>
    <w:rsid w:val="00CB70F9"/>
    <w:rsid w:val="00CD1725"/>
    <w:rsid w:val="00D00C60"/>
    <w:rsid w:val="00D02883"/>
    <w:rsid w:val="00D85246"/>
    <w:rsid w:val="00E05A31"/>
    <w:rsid w:val="00E1090F"/>
    <w:rsid w:val="00E24E8E"/>
    <w:rsid w:val="00E25600"/>
    <w:rsid w:val="00E34B2D"/>
    <w:rsid w:val="00E723BD"/>
    <w:rsid w:val="00E951EE"/>
    <w:rsid w:val="00EA1BAA"/>
    <w:rsid w:val="00EE25C4"/>
    <w:rsid w:val="00EE7D87"/>
    <w:rsid w:val="00F43B03"/>
    <w:rsid w:val="00F679AA"/>
    <w:rsid w:val="00F81E6F"/>
    <w:rsid w:val="00F9133F"/>
    <w:rsid w:val="00FA2D43"/>
    <w:rsid w:val="00FC58F7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D440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Galatas+2%3A20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Galatas+2%3A20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Galatas+2%3A20&amp;version=NB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31DF-CEC1-4EE0-B991-A9F5A67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2022-03-20T05:06:00Z</dcterms:created>
  <dcterms:modified xsi:type="dcterms:W3CDTF">2022-03-20T05:06:00Z</dcterms:modified>
</cp:coreProperties>
</file>